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80" w:rsidRDefault="00F14E74">
      <w:pPr>
        <w:tabs>
          <w:tab w:val="left" w:pos="8242"/>
        </w:tabs>
        <w:spacing w:before="66" w:line="182" w:lineRule="exact"/>
        <w:ind w:left="128"/>
        <w:jc w:val="center"/>
        <w:rPr>
          <w:sz w:val="16"/>
        </w:rPr>
      </w:pPr>
      <w:r>
        <w:rPr>
          <w:noProof/>
        </w:rPr>
        <w:drawing>
          <wp:anchor distT="0" distB="0" distL="0" distR="0" simplePos="0" relativeHeight="268427951" behindDoc="1" locked="0" layoutInCell="1" allowOverlap="1">
            <wp:simplePos x="0" y="0"/>
            <wp:positionH relativeFrom="page">
              <wp:posOffset>3075939</wp:posOffset>
            </wp:positionH>
            <wp:positionV relativeFrom="paragraph">
              <wp:posOffset>53008</wp:posOffset>
            </wp:positionV>
            <wp:extent cx="1239519" cy="248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19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Report</w:t>
      </w:r>
      <w:r>
        <w:rPr>
          <w:spacing w:val="-3"/>
          <w:sz w:val="16"/>
        </w:rPr>
        <w:t xml:space="preserve"> </w:t>
      </w:r>
      <w:r>
        <w:rPr>
          <w:sz w:val="16"/>
        </w:rPr>
        <w:t># 64494</w:t>
      </w:r>
      <w:r>
        <w:rPr>
          <w:sz w:val="16"/>
        </w:rPr>
        <w:tab/>
        <w:t>Report Date:</w:t>
      </w:r>
      <w:r>
        <w:rPr>
          <w:spacing w:val="-32"/>
          <w:sz w:val="16"/>
        </w:rPr>
        <w:t xml:space="preserve"> </w:t>
      </w:r>
      <w:r>
        <w:rPr>
          <w:sz w:val="16"/>
        </w:rPr>
        <w:t>2014-10-06</w:t>
      </w:r>
    </w:p>
    <w:p w:rsidR="00142680" w:rsidRDefault="00F14E74">
      <w:pPr>
        <w:spacing w:line="182" w:lineRule="exact"/>
        <w:ind w:right="110"/>
        <w:jc w:val="right"/>
        <w:rPr>
          <w:sz w:val="16"/>
        </w:rPr>
      </w:pPr>
      <w:r>
        <w:rPr>
          <w:sz w:val="16"/>
        </w:rPr>
        <w:t>Report Date: 2018-10-06</w:t>
      </w:r>
    </w:p>
    <w:p w:rsidR="00142680" w:rsidRDefault="00F14E74">
      <w:pPr>
        <w:pStyle w:val="BodyText"/>
        <w:spacing w:before="0"/>
        <w:rPr>
          <w:sz w:val="28"/>
        </w:rPr>
      </w:pPr>
      <w:r>
        <w:pict>
          <v:group id="_x0000_s1026" style="position:absolute;margin-left:57.2pt;margin-top:18.05pt;width:498.8pt;height:1.2pt;z-index:268428975;mso-wrap-distance-left:0;mso-wrap-distance-right:0;mso-position-horizontal-relative:page" coordorigin="1144,361" coordsize="9976,24">
            <v:line id="_x0000_s1028" style="position:absolute" from="1146,383" to="11118,383" strokecolor="#929292" strokeweight=".07064mm"/>
            <v:line id="_x0000_s1027" style="position:absolute" from="1146,363" to="11118,363" strokecolor="#929292" strokeweight=".07064mm"/>
            <w10:wrap type="topAndBottom" anchorx="page"/>
          </v:group>
        </w:pict>
      </w:r>
    </w:p>
    <w:p w:rsidR="00142680" w:rsidRDefault="00142680">
      <w:pPr>
        <w:pStyle w:val="BodyText"/>
        <w:rPr>
          <w:sz w:val="22"/>
        </w:rPr>
      </w:pPr>
    </w:p>
    <w:p w:rsidR="00142680" w:rsidRDefault="00F14E74">
      <w:pPr>
        <w:tabs>
          <w:tab w:val="left" w:pos="7206"/>
        </w:tabs>
        <w:ind w:left="832"/>
        <w:rPr>
          <w:i/>
          <w:sz w:val="18"/>
        </w:rPr>
      </w:pPr>
      <w:r>
        <w:rPr>
          <w:i/>
          <w:sz w:val="18"/>
        </w:rPr>
        <w:t>Report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for:</w:t>
      </w:r>
      <w:r>
        <w:rPr>
          <w:i/>
          <w:sz w:val="18"/>
        </w:rPr>
        <w:tab/>
        <w:t>Report prepared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by:</w:t>
      </w:r>
    </w:p>
    <w:p w:rsidR="00142680" w:rsidRDefault="00F14E74">
      <w:pPr>
        <w:tabs>
          <w:tab w:val="left" w:pos="7206"/>
        </w:tabs>
        <w:spacing w:before="5"/>
        <w:ind w:left="832"/>
        <w:rPr>
          <w:sz w:val="18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5865</wp:posOffset>
            </wp:positionV>
            <wp:extent cx="441960" cy="4241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2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A</w:t>
      </w:r>
      <w:r w:rsidR="00830CE0">
        <w:rPr>
          <w:b/>
          <w:sz w:val="18"/>
        </w:rPr>
        <w:t xml:space="preserve">merican Marking, </w:t>
      </w:r>
      <w:proofErr w:type="spellStart"/>
      <w:r w:rsidR="00830CE0">
        <w:rPr>
          <w:b/>
          <w:sz w:val="18"/>
        </w:rPr>
        <w:t>Inc</w:t>
      </w:r>
      <w:proofErr w:type="spellEnd"/>
      <w:r>
        <w:rPr>
          <w:b/>
          <w:sz w:val="18"/>
        </w:rPr>
        <w:tab/>
      </w:r>
      <w:r>
        <w:rPr>
          <w:spacing w:val="-5"/>
          <w:sz w:val="18"/>
        </w:rPr>
        <w:t>Tony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Pickett</w:t>
      </w:r>
    </w:p>
    <w:p w:rsidR="00830CE0" w:rsidRDefault="00830CE0">
      <w:pPr>
        <w:tabs>
          <w:tab w:val="left" w:pos="7206"/>
        </w:tabs>
        <w:spacing w:line="205" w:lineRule="exact"/>
        <w:ind w:left="832"/>
        <w:rPr>
          <w:sz w:val="18"/>
        </w:rPr>
      </w:pPr>
    </w:p>
    <w:p w:rsidR="00142680" w:rsidRDefault="00830CE0">
      <w:pPr>
        <w:tabs>
          <w:tab w:val="left" w:pos="7206"/>
        </w:tabs>
        <w:spacing w:line="205" w:lineRule="exact"/>
        <w:ind w:left="832"/>
        <w:rPr>
          <w:i/>
          <w:sz w:val="18"/>
        </w:rPr>
      </w:pPr>
      <w:r>
        <w:rPr>
          <w:i/>
          <w:sz w:val="18"/>
        </w:rPr>
        <w:tab/>
      </w:r>
      <w:r w:rsidR="00F14E74">
        <w:rPr>
          <w:i/>
          <w:sz w:val="18"/>
        </w:rPr>
        <w:t>For further assistance,</w:t>
      </w:r>
      <w:r w:rsidR="00F14E74">
        <w:rPr>
          <w:i/>
          <w:spacing w:val="-14"/>
          <w:sz w:val="18"/>
        </w:rPr>
        <w:t xml:space="preserve"> </w:t>
      </w:r>
      <w:r w:rsidR="00F14E74">
        <w:rPr>
          <w:i/>
          <w:sz w:val="18"/>
        </w:rPr>
        <w:t>contact:</w:t>
      </w:r>
    </w:p>
    <w:p w:rsidR="00142680" w:rsidRDefault="00830CE0">
      <w:pPr>
        <w:pStyle w:val="BodyText"/>
        <w:tabs>
          <w:tab w:val="left" w:pos="7206"/>
        </w:tabs>
        <w:spacing w:line="205" w:lineRule="exact"/>
        <w:ind w:left="832"/>
      </w:pPr>
      <w:r>
        <w:t>2435 Vale Drive</w:t>
      </w:r>
      <w:r w:rsidR="00F14E74">
        <w:tab/>
      </w:r>
      <w:r w:rsidR="00F14E74">
        <w:rPr>
          <w:spacing w:val="-5"/>
        </w:rPr>
        <w:t>Tony</w:t>
      </w:r>
      <w:r w:rsidR="00F14E74">
        <w:rPr>
          <w:spacing w:val="-12"/>
        </w:rPr>
        <w:t xml:space="preserve"> </w:t>
      </w:r>
      <w:r w:rsidR="00F14E74">
        <w:rPr>
          <w:spacing w:val="-6"/>
        </w:rPr>
        <w:t>Pickett</w:t>
      </w:r>
    </w:p>
    <w:p w:rsidR="00142680" w:rsidRDefault="00830CE0">
      <w:pPr>
        <w:tabs>
          <w:tab w:val="left" w:pos="7206"/>
        </w:tabs>
        <w:spacing w:line="205" w:lineRule="exact"/>
        <w:ind w:left="828"/>
        <w:rPr>
          <w:i/>
          <w:sz w:val="18"/>
        </w:rPr>
      </w:pPr>
      <w:r>
        <w:rPr>
          <w:sz w:val="18"/>
        </w:rPr>
        <w:t>Birmingham, AL 35244</w:t>
      </w:r>
      <w:r w:rsidR="00F14E74">
        <w:rPr>
          <w:sz w:val="18"/>
        </w:rPr>
        <w:tab/>
      </w:r>
      <w:r w:rsidR="00F14E74">
        <w:rPr>
          <w:i/>
          <w:sz w:val="18"/>
        </w:rPr>
        <w:t>Technical</w:t>
      </w:r>
      <w:r w:rsidR="00F14E74">
        <w:rPr>
          <w:i/>
          <w:spacing w:val="-17"/>
          <w:sz w:val="18"/>
        </w:rPr>
        <w:t xml:space="preserve"> </w:t>
      </w:r>
      <w:r w:rsidR="00F14E74">
        <w:rPr>
          <w:i/>
          <w:sz w:val="18"/>
        </w:rPr>
        <w:t>Manager</w:t>
      </w:r>
    </w:p>
    <w:p w:rsidR="00142680" w:rsidRDefault="00F14E74">
      <w:pPr>
        <w:pStyle w:val="BodyText"/>
        <w:tabs>
          <w:tab w:val="left" w:pos="7206"/>
        </w:tabs>
        <w:ind w:left="828"/>
      </w:pPr>
      <w:r>
        <w:t>Phone:</w:t>
      </w:r>
      <w:r>
        <w:rPr>
          <w:spacing w:val="-24"/>
        </w:rPr>
        <w:t xml:space="preserve"> </w:t>
      </w:r>
      <w:r>
        <w:t>20</w:t>
      </w:r>
      <w:r w:rsidR="00830CE0">
        <w:t>5</w:t>
      </w:r>
      <w:r>
        <w:t>-</w:t>
      </w:r>
      <w:r w:rsidR="00830CE0">
        <w:t>987-0151</w:t>
      </w:r>
      <w:r>
        <w:tab/>
        <w:t>PO Box</w:t>
      </w:r>
      <w:r>
        <w:rPr>
          <w:spacing w:val="-1"/>
        </w:rPr>
        <w:t xml:space="preserve"> </w:t>
      </w:r>
      <w:r>
        <w:t>51610</w:t>
      </w:r>
    </w:p>
    <w:p w:rsidR="00142680" w:rsidRDefault="00F14E74">
      <w:pPr>
        <w:pStyle w:val="BodyText"/>
        <w:tabs>
          <w:tab w:val="left" w:pos="7206"/>
        </w:tabs>
        <w:spacing w:line="205" w:lineRule="exact"/>
        <w:ind w:left="828"/>
      </w:pPr>
      <w:r>
        <w:t>Fax:</w:t>
      </w:r>
      <w:r>
        <w:rPr>
          <w:spacing w:val="-9"/>
        </w:rPr>
        <w:t xml:space="preserve"> </w:t>
      </w:r>
      <w:r>
        <w:t>20</w:t>
      </w:r>
      <w:r w:rsidR="00830CE0">
        <w:t>5-733-1720</w:t>
      </w:r>
      <w:r>
        <w:tab/>
        <w:t>Knoxville, TN</w:t>
      </w:r>
      <w:r>
        <w:rPr>
          <w:spacing w:val="-15"/>
        </w:rPr>
        <w:t xml:space="preserve"> </w:t>
      </w:r>
      <w:r>
        <w:t>37950-1610</w:t>
      </w:r>
    </w:p>
    <w:bookmarkStart w:id="0" w:name="_GoBack"/>
    <w:bookmarkEnd w:id="0"/>
    <w:permStart w:id="1715954413" w:edGrp="everyone"/>
    <w:permEnd w:id="1715954413"/>
    <w:p w:rsidR="00142680" w:rsidRDefault="00F14E74">
      <w:pPr>
        <w:pStyle w:val="BodyText"/>
        <w:tabs>
          <w:tab w:val="left" w:pos="7206"/>
        </w:tabs>
        <w:spacing w:before="0" w:line="205" w:lineRule="exact"/>
        <w:ind w:left="828"/>
      </w:pPr>
      <w:r>
        <w:fldChar w:fldCharType="begin"/>
      </w:r>
      <w:r>
        <w:instrText xml:space="preserve"> HYPERLINK "mailto:Email:</w:instrText>
      </w:r>
      <w:r>
        <w:rPr>
          <w:spacing w:val="1"/>
        </w:rPr>
        <w:instrText xml:space="preserve"> americanmarking</w:instrText>
      </w:r>
      <w:r>
        <w:instrText xml:space="preserve">@aol.com" </w:instrText>
      </w:r>
      <w:r>
        <w:fldChar w:fldCharType="separate"/>
      </w:r>
      <w:r w:rsidRPr="00C40D4F">
        <w:rPr>
          <w:rStyle w:val="Hyperlink"/>
        </w:rPr>
        <w:t>Email:</w:t>
      </w:r>
      <w:r w:rsidRPr="00C40D4F">
        <w:rPr>
          <w:rStyle w:val="Hyperlink"/>
          <w:spacing w:val="1"/>
        </w:rPr>
        <w:t xml:space="preserve"> americanmarking</w:t>
      </w:r>
      <w:r w:rsidRPr="00C40D4F">
        <w:rPr>
          <w:rStyle w:val="Hyperlink"/>
        </w:rPr>
        <w:t>@aol.com</w:t>
      </w:r>
      <w:r>
        <w:fldChar w:fldCharType="end"/>
      </w:r>
      <w:r>
        <w:tab/>
        <w:t>Phone:</w:t>
      </w:r>
      <w:r>
        <w:rPr>
          <w:spacing w:val="-20"/>
        </w:rPr>
        <w:t xml:space="preserve"> </w:t>
      </w:r>
      <w:r>
        <w:t>865-546-1335</w:t>
      </w:r>
    </w:p>
    <w:p w:rsidR="00142680" w:rsidRDefault="00F14E74">
      <w:pPr>
        <w:pStyle w:val="BodyText"/>
        <w:ind w:left="7210"/>
      </w:pPr>
      <w:r>
        <w:t xml:space="preserve">Email: </w:t>
      </w:r>
      <w:hyperlink r:id="rId10">
        <w:r>
          <w:t>tonypickett@galbraith.com</w:t>
        </w:r>
      </w:hyperlink>
    </w:p>
    <w:p w:rsidR="00142680" w:rsidRDefault="00142680">
      <w:pPr>
        <w:pStyle w:val="BodyText"/>
        <w:spacing w:before="7"/>
        <w:rPr>
          <w:sz w:val="19"/>
        </w:rPr>
      </w:pPr>
    </w:p>
    <w:p w:rsidR="00142680" w:rsidRDefault="00F14E74">
      <w:pPr>
        <w:spacing w:line="242" w:lineRule="auto"/>
        <w:ind w:left="3705" w:right="3714"/>
        <w:jc w:val="center"/>
        <w:rPr>
          <w:b/>
          <w:sz w:val="20"/>
        </w:rPr>
      </w:pPr>
      <w:r>
        <w:rPr>
          <w:b/>
          <w:sz w:val="20"/>
        </w:rPr>
        <w:t>RESULTS OF ANALYSIS SAMPLE NUMBER</w:t>
      </w:r>
    </w:p>
    <w:p w:rsidR="00142680" w:rsidRDefault="00F14E74">
      <w:pPr>
        <w:spacing w:line="230" w:lineRule="exact"/>
        <w:ind w:left="128" w:right="159"/>
        <w:jc w:val="center"/>
        <w:rPr>
          <w:i/>
          <w:sz w:val="20"/>
        </w:rPr>
      </w:pPr>
      <w:r>
        <w:rPr>
          <w:b/>
          <w:i/>
          <w:sz w:val="20"/>
        </w:rPr>
        <w:t xml:space="preserve">Red XV-830Felt Tip Ink, </w:t>
      </w:r>
      <w:r>
        <w:rPr>
          <w:i/>
          <w:sz w:val="20"/>
        </w:rPr>
        <w:t>Batch # XV-12588</w:t>
      </w:r>
    </w:p>
    <w:p w:rsidR="00142680" w:rsidRDefault="00F14E74">
      <w:pPr>
        <w:spacing w:before="2"/>
        <w:ind w:left="128" w:right="154"/>
        <w:jc w:val="center"/>
        <w:rPr>
          <w:i/>
          <w:sz w:val="20"/>
        </w:rPr>
      </w:pPr>
      <w:r>
        <w:rPr>
          <w:b/>
          <w:i/>
          <w:sz w:val="20"/>
        </w:rPr>
        <w:t xml:space="preserve">Lab ID: </w:t>
      </w:r>
      <w:r>
        <w:rPr>
          <w:i/>
          <w:sz w:val="20"/>
        </w:rPr>
        <w:t>2014-X-2676</w:t>
      </w:r>
    </w:p>
    <w:p w:rsidR="00142680" w:rsidRDefault="00142680">
      <w:pPr>
        <w:pStyle w:val="BodyText"/>
        <w:spacing w:before="0"/>
        <w:rPr>
          <w:i/>
          <w:sz w:val="21"/>
        </w:rPr>
      </w:pPr>
    </w:p>
    <w:tbl>
      <w:tblPr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5"/>
        <w:gridCol w:w="3325"/>
      </w:tblGrid>
      <w:tr w:rsidR="00142680">
        <w:trPr>
          <w:trHeight w:hRule="exact" w:val="340"/>
        </w:trPr>
        <w:tc>
          <w:tcPr>
            <w:tcW w:w="3325" w:type="dxa"/>
            <w:shd w:val="clear" w:color="auto" w:fill="D3FDFF"/>
          </w:tcPr>
          <w:p w:rsidR="00142680" w:rsidRDefault="00F14E74">
            <w:pPr>
              <w:pStyle w:val="TableParagraph"/>
              <w:spacing w:before="32"/>
              <w:ind w:left="1157" w:right="1156"/>
              <w:rPr>
                <w:b/>
                <w:sz w:val="20"/>
              </w:rPr>
            </w:pPr>
            <w:r>
              <w:rPr>
                <w:b/>
                <w:sz w:val="20"/>
              </w:rPr>
              <w:t>Analysis</w:t>
            </w:r>
          </w:p>
        </w:tc>
        <w:tc>
          <w:tcPr>
            <w:tcW w:w="3325" w:type="dxa"/>
            <w:shd w:val="clear" w:color="auto" w:fill="D3FDFF"/>
          </w:tcPr>
          <w:p w:rsidR="00142680" w:rsidRDefault="00F14E74">
            <w:pPr>
              <w:pStyle w:val="TableParagraph"/>
              <w:spacing w:before="32"/>
              <w:ind w:left="668"/>
              <w:rPr>
                <w:b/>
                <w:sz w:val="20"/>
              </w:rPr>
            </w:pPr>
            <w:r>
              <w:rPr>
                <w:b/>
                <w:sz w:val="20"/>
              </w:rPr>
              <w:t>Results (ppm)</w:t>
            </w:r>
          </w:p>
        </w:tc>
        <w:tc>
          <w:tcPr>
            <w:tcW w:w="3325" w:type="dxa"/>
            <w:shd w:val="clear" w:color="auto" w:fill="D3FDFF"/>
          </w:tcPr>
          <w:p w:rsidR="00142680" w:rsidRDefault="00F14E74">
            <w:pPr>
              <w:pStyle w:val="TableParagraph"/>
              <w:spacing w:before="32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 (ppm)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979" w:right="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Total Halogens: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5"/>
              <w:ind w:left="671" w:right="662"/>
              <w:rPr>
                <w:b/>
                <w:sz w:val="18"/>
              </w:rPr>
            </w:pPr>
            <w:r>
              <w:rPr>
                <w:b/>
                <w:sz w:val="18"/>
              </w:rPr>
              <w:t>…..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5"/>
              <w:ind w:left="667"/>
              <w:rPr>
                <w:b/>
                <w:sz w:val="18"/>
              </w:rPr>
            </w:pPr>
            <w:r>
              <w:rPr>
                <w:b/>
                <w:sz w:val="18"/>
              </w:rPr>
              <w:t>250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Bromine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&lt;9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Chlorine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71" w:right="662"/>
              <w:rPr>
                <w:sz w:val="18"/>
              </w:rPr>
            </w:pPr>
            <w:r>
              <w:rPr>
                <w:sz w:val="18"/>
              </w:rPr>
              <w:t>52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Fluorine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71" w:right="662"/>
              <w:rPr>
                <w:sz w:val="18"/>
              </w:rPr>
            </w:pPr>
            <w:r>
              <w:rPr>
                <w:sz w:val="18"/>
              </w:rPr>
              <w:t>25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Iodine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&lt;7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63" w:right="1156"/>
              <w:rPr>
                <w:sz w:val="18"/>
              </w:rPr>
            </w:pPr>
            <w:r>
              <w:rPr>
                <w:sz w:val="18"/>
              </w:rPr>
              <w:t>Lead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71" w:right="662"/>
              <w:rPr>
                <w:sz w:val="18"/>
              </w:rPr>
            </w:pPr>
            <w:r>
              <w:rPr>
                <w:sz w:val="18"/>
              </w:rPr>
              <w:t>25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3" w:right="1156"/>
              <w:rPr>
                <w:sz w:val="18"/>
              </w:rPr>
            </w:pPr>
            <w:r>
              <w:rPr>
                <w:sz w:val="18"/>
              </w:rPr>
              <w:t>Sulfur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141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250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427" w:right="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Low Melting Point Elements: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5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…..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57" w:right="1156"/>
              <w:rPr>
                <w:sz w:val="18"/>
              </w:rPr>
            </w:pPr>
            <w:r>
              <w:rPr>
                <w:sz w:val="18"/>
              </w:rPr>
              <w:t>Sodium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71" w:right="662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63" w:right="1156"/>
              <w:rPr>
                <w:sz w:val="18"/>
              </w:rPr>
            </w:pPr>
            <w:r>
              <w:rPr>
                <w:sz w:val="18"/>
              </w:rPr>
              <w:t>Boron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7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4" w:right="1156"/>
              <w:rPr>
                <w:sz w:val="18"/>
              </w:rPr>
            </w:pPr>
            <w:r>
              <w:rPr>
                <w:sz w:val="18"/>
              </w:rPr>
              <w:t>Phosphorus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71" w:right="662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57" w:right="1156"/>
              <w:rPr>
                <w:sz w:val="18"/>
              </w:rPr>
            </w:pPr>
            <w:r>
              <w:rPr>
                <w:sz w:val="18"/>
              </w:rPr>
              <w:t>Cadmium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4" w:right="1155"/>
              <w:rPr>
                <w:sz w:val="18"/>
              </w:rPr>
            </w:pPr>
            <w:r>
              <w:rPr>
                <w:sz w:val="18"/>
              </w:rPr>
              <w:t>Antimony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63" w:right="1156"/>
              <w:rPr>
                <w:sz w:val="18"/>
              </w:rPr>
            </w:pPr>
            <w:r>
              <w:rPr>
                <w:sz w:val="18"/>
              </w:rPr>
              <w:t>Bismuth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1" w:right="1156"/>
              <w:rPr>
                <w:sz w:val="18"/>
              </w:rPr>
            </w:pPr>
            <w:r>
              <w:rPr>
                <w:sz w:val="18"/>
              </w:rPr>
              <w:t>Mercury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65"/>
              <w:rPr>
                <w:sz w:val="18"/>
              </w:rPr>
            </w:pPr>
            <w:r>
              <w:rPr>
                <w:sz w:val="18"/>
              </w:rPr>
              <w:t>0.0705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57" w:right="1156"/>
              <w:rPr>
                <w:sz w:val="18"/>
              </w:rPr>
            </w:pPr>
            <w:r>
              <w:rPr>
                <w:sz w:val="18"/>
              </w:rPr>
              <w:t>Zinc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4" w:right="1153"/>
              <w:rPr>
                <w:sz w:val="18"/>
              </w:rPr>
            </w:pPr>
            <w:r>
              <w:rPr>
                <w:sz w:val="18"/>
              </w:rPr>
              <w:t>Tin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64" w:right="1155"/>
              <w:rPr>
                <w:sz w:val="18"/>
              </w:rPr>
            </w:pPr>
            <w:r>
              <w:rPr>
                <w:sz w:val="18"/>
              </w:rPr>
              <w:t>Tellurium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&lt;4.56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1" w:right="1156"/>
              <w:rPr>
                <w:sz w:val="18"/>
              </w:rPr>
            </w:pPr>
            <w:r>
              <w:rPr>
                <w:sz w:val="18"/>
              </w:rPr>
              <w:t>Selenium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20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59" w:right="1156"/>
              <w:rPr>
                <w:sz w:val="18"/>
              </w:rPr>
            </w:pPr>
            <w:r>
              <w:rPr>
                <w:sz w:val="18"/>
              </w:rPr>
              <w:t>Silver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1164" w:right="1155"/>
              <w:rPr>
                <w:sz w:val="18"/>
              </w:rPr>
            </w:pPr>
            <w:r>
              <w:rPr>
                <w:sz w:val="18"/>
              </w:rPr>
              <w:t>Thallium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ind w:left="665"/>
              <w:rPr>
                <w:sz w:val="18"/>
              </w:rPr>
            </w:pPr>
            <w:r>
              <w:rPr>
                <w:sz w:val="18"/>
              </w:rPr>
              <w:t>&lt;9.72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  <w:tr w:rsidR="00142680">
        <w:trPr>
          <w:trHeight w:hRule="exact" w:val="316"/>
        </w:trPr>
        <w:tc>
          <w:tcPr>
            <w:tcW w:w="3325" w:type="dxa"/>
          </w:tcPr>
          <w:p w:rsidR="00142680" w:rsidRDefault="00F14E74">
            <w:pPr>
              <w:pStyle w:val="TableParagraph"/>
              <w:ind w:left="1160" w:right="1156"/>
              <w:rPr>
                <w:sz w:val="18"/>
              </w:rPr>
            </w:pPr>
            <w:r>
              <w:rPr>
                <w:sz w:val="18"/>
              </w:rPr>
              <w:t>Copper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&lt;4.86 ppm</w:t>
            </w:r>
          </w:p>
        </w:tc>
        <w:tc>
          <w:tcPr>
            <w:tcW w:w="3325" w:type="dxa"/>
          </w:tcPr>
          <w:p w:rsidR="00142680" w:rsidRDefault="00F14E7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maximum</w:t>
            </w:r>
          </w:p>
        </w:tc>
      </w:tr>
    </w:tbl>
    <w:p w:rsidR="00142680" w:rsidRDefault="00142680">
      <w:pPr>
        <w:pStyle w:val="BodyText"/>
        <w:spacing w:before="0"/>
        <w:rPr>
          <w:i/>
          <w:sz w:val="12"/>
        </w:rPr>
      </w:pPr>
    </w:p>
    <w:p w:rsidR="00142680" w:rsidRDefault="00F14E74">
      <w:pPr>
        <w:spacing w:before="80"/>
        <w:ind w:left="128" w:right="151"/>
        <w:jc w:val="center"/>
        <w:rPr>
          <w:b/>
          <w:i/>
          <w:sz w:val="16"/>
        </w:rPr>
      </w:pPr>
      <w:r>
        <w:rPr>
          <w:b/>
          <w:i/>
          <w:sz w:val="16"/>
        </w:rPr>
        <w:t>Meets GE Specification # D50TF8-S7</w:t>
      </w:r>
    </w:p>
    <w:p w:rsidR="00142680" w:rsidRDefault="00F14E74">
      <w:pPr>
        <w:ind w:left="4193" w:right="4034" w:firstLine="500"/>
        <w:rPr>
          <w:i/>
          <w:sz w:val="16"/>
        </w:rPr>
      </w:pPr>
      <w:r>
        <w:rPr>
          <w:i/>
          <w:sz w:val="16"/>
        </w:rPr>
        <w:t xml:space="preserve">Signatures: Published by: Tony </w:t>
      </w:r>
      <w:proofErr w:type="spellStart"/>
      <w:r>
        <w:rPr>
          <w:i/>
          <w:sz w:val="16"/>
        </w:rPr>
        <w:t>PIckett</w:t>
      </w:r>
      <w:proofErr w:type="spellEnd"/>
    </w:p>
    <w:p w:rsidR="00142680" w:rsidRDefault="00F14E74">
      <w:pPr>
        <w:pStyle w:val="ListParagraph"/>
        <w:numPr>
          <w:ilvl w:val="0"/>
          <w:numId w:val="1"/>
        </w:numPr>
        <w:tabs>
          <w:tab w:val="left" w:pos="4062"/>
        </w:tabs>
        <w:rPr>
          <w:i/>
          <w:sz w:val="16"/>
        </w:rPr>
      </w:pPr>
      <w:r>
        <w:rPr>
          <w:i/>
          <w:sz w:val="16"/>
        </w:rPr>
        <w:t>Physical signatures are on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file.</w:t>
      </w:r>
    </w:p>
    <w:p w:rsidR="00142680" w:rsidRDefault="00F14E74">
      <w:pPr>
        <w:pStyle w:val="ListParagraph"/>
        <w:numPr>
          <w:ilvl w:val="0"/>
          <w:numId w:val="2"/>
        </w:numPr>
        <w:tabs>
          <w:tab w:val="left" w:pos="2969"/>
        </w:tabs>
        <w:rPr>
          <w:i/>
          <w:sz w:val="16"/>
        </w:rPr>
      </w:pPr>
      <w:r>
        <w:rPr>
          <w:i/>
          <w:sz w:val="16"/>
        </w:rPr>
        <w:t>-Published By- signature indicates authorized release of</w:t>
      </w:r>
      <w:r>
        <w:rPr>
          <w:i/>
          <w:spacing w:val="-17"/>
          <w:sz w:val="16"/>
        </w:rPr>
        <w:t xml:space="preserve"> </w:t>
      </w:r>
      <w:r>
        <w:rPr>
          <w:i/>
          <w:sz w:val="16"/>
        </w:rPr>
        <w:t>data.</w:t>
      </w:r>
    </w:p>
    <w:p w:rsidR="00142680" w:rsidRDefault="00F14E74">
      <w:pPr>
        <w:pStyle w:val="ListParagraph"/>
        <w:numPr>
          <w:ilvl w:val="1"/>
          <w:numId w:val="2"/>
        </w:numPr>
        <w:tabs>
          <w:tab w:val="left" w:pos="4234"/>
        </w:tabs>
        <w:rPr>
          <w:i/>
          <w:sz w:val="16"/>
        </w:rPr>
      </w:pPr>
      <w:r>
        <w:rPr>
          <w:i/>
          <w:sz w:val="16"/>
        </w:rPr>
        <w:t>Analytical Method on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file.</w:t>
      </w:r>
    </w:p>
    <w:sectPr w:rsidR="001426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74" w:rsidRDefault="00F14E74" w:rsidP="00F14E74">
      <w:r>
        <w:separator/>
      </w:r>
    </w:p>
  </w:endnote>
  <w:endnote w:type="continuationSeparator" w:id="0">
    <w:p w:rsidR="00F14E74" w:rsidRDefault="00F14E74" w:rsidP="00F1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74" w:rsidRDefault="00F14E74" w:rsidP="00F14E74">
      <w:r>
        <w:separator/>
      </w:r>
    </w:p>
  </w:footnote>
  <w:footnote w:type="continuationSeparator" w:id="0">
    <w:p w:rsidR="00F14E74" w:rsidRDefault="00F14E74" w:rsidP="00F1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74" w:rsidRDefault="00F14E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CCC"/>
    <w:multiLevelType w:val="hybridMultilevel"/>
    <w:tmpl w:val="5306964A"/>
    <w:lvl w:ilvl="0" w:tplc="009CA698">
      <w:start w:val="1"/>
      <w:numFmt w:val="bullet"/>
      <w:lvlText w:val="•"/>
      <w:lvlJc w:val="left"/>
      <w:pPr>
        <w:ind w:left="4061" w:hanging="100"/>
      </w:pPr>
      <w:rPr>
        <w:rFonts w:ascii="Arial" w:eastAsia="Arial" w:hAnsi="Arial" w:cs="Arial" w:hint="default"/>
        <w:i/>
        <w:w w:val="99"/>
        <w:sz w:val="16"/>
        <w:szCs w:val="16"/>
      </w:rPr>
    </w:lvl>
    <w:lvl w:ilvl="1" w:tplc="A38CA08A">
      <w:start w:val="1"/>
      <w:numFmt w:val="bullet"/>
      <w:lvlText w:val="•"/>
      <w:lvlJc w:val="left"/>
      <w:pPr>
        <w:ind w:left="4676" w:hanging="100"/>
      </w:pPr>
      <w:rPr>
        <w:rFonts w:hint="default"/>
      </w:rPr>
    </w:lvl>
    <w:lvl w:ilvl="2" w:tplc="7F72C944">
      <w:start w:val="1"/>
      <w:numFmt w:val="bullet"/>
      <w:lvlText w:val="•"/>
      <w:lvlJc w:val="left"/>
      <w:pPr>
        <w:ind w:left="5292" w:hanging="100"/>
      </w:pPr>
      <w:rPr>
        <w:rFonts w:hint="default"/>
      </w:rPr>
    </w:lvl>
    <w:lvl w:ilvl="3" w:tplc="E0BAEE30">
      <w:start w:val="1"/>
      <w:numFmt w:val="bullet"/>
      <w:lvlText w:val="•"/>
      <w:lvlJc w:val="left"/>
      <w:pPr>
        <w:ind w:left="5908" w:hanging="100"/>
      </w:pPr>
      <w:rPr>
        <w:rFonts w:hint="default"/>
      </w:rPr>
    </w:lvl>
    <w:lvl w:ilvl="4" w:tplc="2C9E3638">
      <w:start w:val="1"/>
      <w:numFmt w:val="bullet"/>
      <w:lvlText w:val="•"/>
      <w:lvlJc w:val="left"/>
      <w:pPr>
        <w:ind w:left="6524" w:hanging="100"/>
      </w:pPr>
      <w:rPr>
        <w:rFonts w:hint="default"/>
      </w:rPr>
    </w:lvl>
    <w:lvl w:ilvl="5" w:tplc="8FBA36CE">
      <w:start w:val="1"/>
      <w:numFmt w:val="bullet"/>
      <w:lvlText w:val="•"/>
      <w:lvlJc w:val="left"/>
      <w:pPr>
        <w:ind w:left="7140" w:hanging="100"/>
      </w:pPr>
      <w:rPr>
        <w:rFonts w:hint="default"/>
      </w:rPr>
    </w:lvl>
    <w:lvl w:ilvl="6" w:tplc="F678F696">
      <w:start w:val="1"/>
      <w:numFmt w:val="bullet"/>
      <w:lvlText w:val="•"/>
      <w:lvlJc w:val="left"/>
      <w:pPr>
        <w:ind w:left="7756" w:hanging="100"/>
      </w:pPr>
      <w:rPr>
        <w:rFonts w:hint="default"/>
      </w:rPr>
    </w:lvl>
    <w:lvl w:ilvl="7" w:tplc="8EAE48AC">
      <w:start w:val="1"/>
      <w:numFmt w:val="bullet"/>
      <w:lvlText w:val="•"/>
      <w:lvlJc w:val="left"/>
      <w:pPr>
        <w:ind w:left="8372" w:hanging="100"/>
      </w:pPr>
      <w:rPr>
        <w:rFonts w:hint="default"/>
      </w:rPr>
    </w:lvl>
    <w:lvl w:ilvl="8" w:tplc="751E84E4">
      <w:start w:val="1"/>
      <w:numFmt w:val="bullet"/>
      <w:lvlText w:val="•"/>
      <w:lvlJc w:val="left"/>
      <w:pPr>
        <w:ind w:left="8988" w:hanging="100"/>
      </w:pPr>
      <w:rPr>
        <w:rFonts w:hint="default"/>
      </w:rPr>
    </w:lvl>
  </w:abstractNum>
  <w:abstractNum w:abstractNumId="1">
    <w:nsid w:val="4D1E2DEB"/>
    <w:multiLevelType w:val="hybridMultilevel"/>
    <w:tmpl w:val="7AE64EAE"/>
    <w:lvl w:ilvl="0" w:tplc="C5087294">
      <w:start w:val="1"/>
      <w:numFmt w:val="bullet"/>
      <w:lvlText w:val="•"/>
      <w:lvlJc w:val="left"/>
      <w:pPr>
        <w:ind w:left="2969" w:hanging="100"/>
      </w:pPr>
      <w:rPr>
        <w:rFonts w:ascii="Arial" w:eastAsia="Arial" w:hAnsi="Arial" w:cs="Arial" w:hint="default"/>
        <w:i/>
        <w:w w:val="99"/>
        <w:sz w:val="16"/>
        <w:szCs w:val="16"/>
      </w:rPr>
    </w:lvl>
    <w:lvl w:ilvl="1" w:tplc="01486A56">
      <w:start w:val="1"/>
      <w:numFmt w:val="bullet"/>
      <w:lvlText w:val="•"/>
      <w:lvlJc w:val="left"/>
      <w:pPr>
        <w:ind w:left="4233" w:hanging="96"/>
      </w:pPr>
      <w:rPr>
        <w:rFonts w:ascii="Arial" w:eastAsia="Arial" w:hAnsi="Arial" w:cs="Arial" w:hint="default"/>
        <w:i/>
        <w:w w:val="99"/>
        <w:sz w:val="16"/>
        <w:szCs w:val="16"/>
      </w:rPr>
    </w:lvl>
    <w:lvl w:ilvl="2" w:tplc="F4FA9FF6">
      <w:start w:val="1"/>
      <w:numFmt w:val="bullet"/>
      <w:lvlText w:val="•"/>
      <w:lvlJc w:val="left"/>
      <w:pPr>
        <w:ind w:left="4904" w:hanging="96"/>
      </w:pPr>
      <w:rPr>
        <w:rFonts w:hint="default"/>
      </w:rPr>
    </w:lvl>
    <w:lvl w:ilvl="3" w:tplc="1C50A8CE">
      <w:start w:val="1"/>
      <w:numFmt w:val="bullet"/>
      <w:lvlText w:val="•"/>
      <w:lvlJc w:val="left"/>
      <w:pPr>
        <w:ind w:left="5568" w:hanging="96"/>
      </w:pPr>
      <w:rPr>
        <w:rFonts w:hint="default"/>
      </w:rPr>
    </w:lvl>
    <w:lvl w:ilvl="4" w:tplc="6E1C9270">
      <w:start w:val="1"/>
      <w:numFmt w:val="bullet"/>
      <w:lvlText w:val="•"/>
      <w:lvlJc w:val="left"/>
      <w:pPr>
        <w:ind w:left="6233" w:hanging="96"/>
      </w:pPr>
      <w:rPr>
        <w:rFonts w:hint="default"/>
      </w:rPr>
    </w:lvl>
    <w:lvl w:ilvl="5" w:tplc="36AA996E">
      <w:start w:val="1"/>
      <w:numFmt w:val="bullet"/>
      <w:lvlText w:val="•"/>
      <w:lvlJc w:val="left"/>
      <w:pPr>
        <w:ind w:left="6897" w:hanging="96"/>
      </w:pPr>
      <w:rPr>
        <w:rFonts w:hint="default"/>
      </w:rPr>
    </w:lvl>
    <w:lvl w:ilvl="6" w:tplc="89AC1CA0">
      <w:start w:val="1"/>
      <w:numFmt w:val="bullet"/>
      <w:lvlText w:val="•"/>
      <w:lvlJc w:val="left"/>
      <w:pPr>
        <w:ind w:left="7562" w:hanging="96"/>
      </w:pPr>
      <w:rPr>
        <w:rFonts w:hint="default"/>
      </w:rPr>
    </w:lvl>
    <w:lvl w:ilvl="7" w:tplc="80F49E0E">
      <w:start w:val="1"/>
      <w:numFmt w:val="bullet"/>
      <w:lvlText w:val="•"/>
      <w:lvlJc w:val="left"/>
      <w:pPr>
        <w:ind w:left="8226" w:hanging="96"/>
      </w:pPr>
      <w:rPr>
        <w:rFonts w:hint="default"/>
      </w:rPr>
    </w:lvl>
    <w:lvl w:ilvl="8" w:tplc="14AC8308">
      <w:start w:val="1"/>
      <w:numFmt w:val="bullet"/>
      <w:lvlText w:val="•"/>
      <w:lvlJc w:val="left"/>
      <w:pPr>
        <w:ind w:left="8891" w:hanging="9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2680"/>
    <w:rsid w:val="00142680"/>
    <w:rsid w:val="00830CE0"/>
    <w:rsid w:val="00F1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969" w:hanging="10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669" w:right="66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4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E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14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E7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14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onypickett@galbrait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2016-03-16T17:38:00Z</dcterms:created>
  <dcterms:modified xsi:type="dcterms:W3CDTF">2016-03-16T17:39:00Z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